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09" w:rsidRPr="006F592A" w:rsidRDefault="00542B09" w:rsidP="006F592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:lang w:eastAsia="zh-CN"/>
          <w14:ligatures w14:val="standardContextual"/>
        </w:rPr>
        <w:t>Załącznik 2</w:t>
      </w:r>
      <w:r w:rsidR="00430BD4" w:rsidRPr="006F592A">
        <w:rPr>
          <w:rFonts w:eastAsia="Calibri" w:cstheme="minorHAnsi"/>
          <w:b/>
          <w:bCs/>
          <w:spacing w:val="30"/>
          <w:kern w:val="2"/>
          <w:sz w:val="24"/>
          <w:szCs w:val="24"/>
          <w:lang w:eastAsia="zh-CN"/>
          <w14:ligatures w14:val="standardContextual"/>
        </w:rPr>
        <w:t xml:space="preserve"> do wniosku </w:t>
      </w:r>
    </w:p>
    <w:p w:rsidR="00542B09" w:rsidRPr="006F592A" w:rsidRDefault="00542B09" w:rsidP="006F592A">
      <w:pPr>
        <w:spacing w:after="0" w:line="240" w:lineRule="auto"/>
        <w:rPr>
          <w:rFonts w:eastAsia="Calibri" w:cstheme="minorHAnsi"/>
          <w:b/>
          <w:bCs/>
          <w:spacing w:val="30"/>
          <w:kern w:val="2"/>
          <w:sz w:val="24"/>
          <w:szCs w:val="24"/>
          <w:lang w:eastAsia="zh-CN"/>
          <w14:ligatures w14:val="standardContextual"/>
        </w:rPr>
      </w:pPr>
    </w:p>
    <w:p w:rsidR="00542B09" w:rsidRPr="006F592A" w:rsidRDefault="00542B09" w:rsidP="006F592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:lang w:eastAsia="zh-CN"/>
          <w14:ligatures w14:val="standardContextual"/>
        </w:rPr>
        <w:t>Dostawa materiałów, wyposażenia i sprzętu w ramach realizacji Programu Ochrony Ludności i Obrony Cywilnej na rok 2025 na terenie gminy</w:t>
      </w:r>
    </w:p>
    <w:p w:rsidR="00542B09" w:rsidRPr="006F592A" w:rsidRDefault="00542B09" w:rsidP="006F592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color w:val="000000"/>
          <w:spacing w:val="30"/>
          <w:kern w:val="2"/>
          <w:sz w:val="24"/>
          <w:szCs w:val="24"/>
          <w:lang w:eastAsia="zh-CN"/>
        </w:rPr>
        <w:t>Dostawa agregatów prądotwórczych</w:t>
      </w:r>
    </w:p>
    <w:p w:rsidR="007474BF" w:rsidRPr="006F592A" w:rsidRDefault="007474BF" w:rsidP="006F592A">
      <w:pPr>
        <w:spacing w:before="57" w:after="57"/>
        <w:rPr>
          <w:rFonts w:eastAsia="Calibri" w:cstheme="minorHAnsi"/>
          <w:b/>
          <w:bCs/>
          <w:strike/>
          <w:spacing w:val="30"/>
          <w:kern w:val="2"/>
          <w:sz w:val="24"/>
          <w:szCs w:val="24"/>
          <w14:ligatures w14:val="standardContextual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>CZĘŚĆ 1 ZAMÓWIENIA</w:t>
      </w:r>
    </w:p>
    <w:p w:rsidR="007474BF" w:rsidRPr="006F592A" w:rsidRDefault="007474BF" w:rsidP="006F592A">
      <w:pPr>
        <w:spacing w:before="57" w:after="57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 xml:space="preserve"> Mobilny agregat prądotwórczy o mocy znamionowej 2,5 – 3,5 kW</w:t>
      </w:r>
    </w:p>
    <w:p w:rsidR="007474BF" w:rsidRPr="006F592A" w:rsidRDefault="007474BF" w:rsidP="006F592A">
      <w:pPr>
        <w:spacing w:before="57" w:after="57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>ilość sztuk: 2</w:t>
      </w:r>
    </w:p>
    <w:tbl>
      <w:tblPr>
        <w:tblStyle w:val="Tabela-Siatka2"/>
        <w:tblW w:w="10060" w:type="dxa"/>
        <w:tblLayout w:type="fixed"/>
        <w:tblLook w:val="04A0" w:firstRow="1" w:lastRow="0" w:firstColumn="1" w:lastColumn="0" w:noHBand="0" w:noVBand="1"/>
      </w:tblPr>
      <w:tblGrid>
        <w:gridCol w:w="4704"/>
        <w:gridCol w:w="5356"/>
      </w:tblGrid>
      <w:tr w:rsidR="007474BF" w:rsidRPr="006F592A" w:rsidTr="00211150">
        <w:trPr>
          <w:trHeight w:val="73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Przeznaczenie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 Mobilny agregat prądotwórczy jednofazowy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Moc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znamionowa 2,5 kW- 3,5 kW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Napięcie wyjściowe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230 V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Silnik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benzynowy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chłodzony powietrzem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spalanie do 2l/h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Rozruch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ręczny/manualny 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Zbiornik paliwa</w:t>
            </w:r>
          </w:p>
        </w:tc>
        <w:tc>
          <w:tcPr>
            <w:tcW w:w="5356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do 5 l.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Wyposażenie/funkcje:</w:t>
            </w:r>
          </w:p>
        </w:tc>
        <w:tc>
          <w:tcPr>
            <w:tcW w:w="5356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AVR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gniazda 230 V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zabezpieczenie przeciwporażeniowe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czujnik ciśnienia oleju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licznik czasu pracy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prądnica synchroniczna 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stopień ochrony IP 23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Klasa izolacji H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Stabilizacja napięcia (+/- 1%)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czas pracy na zbiorniku (moc 75% - min. 3h)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pakiet serwisowy (filtr powietrza, świeca zapłonowa, olej silnikowy)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Inne uwagi: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eastAsia="NSimSun" w:hAnsiTheme="minorHAnsi" w:cstheme="minorHAnsi"/>
                <w:spacing w:val="30"/>
                <w:kern w:val="2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Wąż do odprowadzenia spalin,</w:t>
            </w:r>
          </w:p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eastAsia="NSimSun" w:hAnsiTheme="minorHAnsi" w:cstheme="minorHAnsi"/>
                <w:spacing w:val="30"/>
                <w:kern w:val="2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Pokrowiec ochronny,</w:t>
            </w:r>
          </w:p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eastAsia="NSimSun" w:hAnsiTheme="minorHAnsi" w:cstheme="minorHAnsi"/>
                <w:spacing w:val="30"/>
                <w:kern w:val="2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Tryb pracy ekonomicznej,</w:t>
            </w:r>
          </w:p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Zamknięta obudowa</w:t>
            </w:r>
          </w:p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Agregat z całym oprzyrządowaniem oraz wyposażeniem ma być zdolny do pracy w momencie dostawy.</w:t>
            </w:r>
          </w:p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Pierwszy rozruch u Zamawiającego.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Gwarancja: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24 - 48 miesiące od daty podpisania protokoły odbioru </w:t>
            </w:r>
            <w:r w:rsidR="00430BD4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końcowego </w:t>
            </w: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bez uwag (zgodnie  z treścią złożonej oferty oraz  wynikająca z dokumentów gwarancyjnych producenta czy dystrybutora)</w:t>
            </w:r>
          </w:p>
        </w:tc>
      </w:tr>
    </w:tbl>
    <w:p w:rsidR="00D51DAB" w:rsidRPr="006F592A" w:rsidRDefault="00D51DAB" w:rsidP="006F592A">
      <w:pPr>
        <w:spacing w:line="276" w:lineRule="auto"/>
        <w:rPr>
          <w:rFonts w:cstheme="minorHAnsi"/>
          <w:spacing w:val="30"/>
          <w:sz w:val="24"/>
          <w:szCs w:val="24"/>
        </w:rPr>
      </w:pPr>
    </w:p>
    <w:p w:rsidR="007474BF" w:rsidRPr="006F592A" w:rsidRDefault="007474BF" w:rsidP="006F592A">
      <w:pPr>
        <w:spacing w:before="57" w:after="57"/>
        <w:rPr>
          <w:rFonts w:eastAsia="Calibri" w:cstheme="minorHAnsi"/>
          <w:b/>
          <w:bCs/>
          <w:strike/>
          <w:spacing w:val="30"/>
          <w:kern w:val="2"/>
          <w:sz w:val="24"/>
          <w:szCs w:val="24"/>
          <w14:ligatures w14:val="standardContextual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>CZĘŚĆ 2 ZAMÓWIENIA:</w:t>
      </w:r>
    </w:p>
    <w:p w:rsidR="007474BF" w:rsidRPr="006F592A" w:rsidRDefault="007474BF" w:rsidP="006F592A">
      <w:pPr>
        <w:spacing w:before="57" w:after="57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 xml:space="preserve"> Mobilny agregat prądotwórczy o mocy znamionowej 10-12 kW</w:t>
      </w:r>
    </w:p>
    <w:p w:rsidR="007474BF" w:rsidRPr="006F592A" w:rsidRDefault="007474BF" w:rsidP="006F592A">
      <w:pPr>
        <w:spacing w:before="57" w:after="57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>ilość sztuk: 2</w:t>
      </w:r>
    </w:p>
    <w:tbl>
      <w:tblPr>
        <w:tblStyle w:val="Tabela-Siatka2"/>
        <w:tblW w:w="10060" w:type="dxa"/>
        <w:tblLayout w:type="fixed"/>
        <w:tblLook w:val="04A0" w:firstRow="1" w:lastRow="0" w:firstColumn="1" w:lastColumn="0" w:noHBand="0" w:noVBand="1"/>
      </w:tblPr>
      <w:tblGrid>
        <w:gridCol w:w="4704"/>
        <w:gridCol w:w="5356"/>
      </w:tblGrid>
      <w:tr w:rsidR="007474BF" w:rsidRPr="006F592A" w:rsidTr="00211150">
        <w:trPr>
          <w:trHeight w:val="73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Przeznaczenie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 Mobilny agregat prądotwórczy trójfazowy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Moc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znamionowa 10 kW</w:t>
            </w:r>
            <w:r w:rsidRPr="006F592A">
              <w:rPr>
                <w:rFonts w:asciiTheme="minorHAnsi" w:hAnsiTheme="minorHAnsi" w:cstheme="minorHAnsi"/>
                <w:spacing w:val="30"/>
              </w:rPr>
              <w:t xml:space="preserve"> – 12 kW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Napięcie wyjściowe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400/230 V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Silnik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spacing w:line="240" w:lineRule="auto"/>
              <w:ind w:left="720"/>
              <w:rPr>
                <w:rFonts w:asciiTheme="minorHAnsi" w:hAnsiTheme="minorHAnsi" w:cstheme="minorHAnsi"/>
                <w:spacing w:val="30"/>
              </w:rPr>
            </w:pPr>
          </w:p>
          <w:p w:rsidR="007474BF" w:rsidRPr="006F592A" w:rsidRDefault="007474BF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benzynowy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chłodzony powietrzem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spalanie do 5l/h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Rozruch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manualny + rozrusznik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Zbiornik paliwa</w:t>
            </w:r>
          </w:p>
        </w:tc>
        <w:tc>
          <w:tcPr>
            <w:tcW w:w="5356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45 l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Wyposażenie/funkcje:</w:t>
            </w:r>
          </w:p>
        </w:tc>
        <w:tc>
          <w:tcPr>
            <w:tcW w:w="5356" w:type="dxa"/>
            <w:tcBorders>
              <w:top w:val="nil"/>
            </w:tcBorders>
          </w:tcPr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AVR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gniazda 400 V i 230 V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zabezpieczenie przeciwporażeniowe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czujnik ciśnienia oleju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tłumik z przyłączem do węża do spalin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wąż do spalin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akumulator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licznik czasu pracy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prądnica synchroniczna 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stopień ochrony IP 23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Klasa izolacji H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Stabilizacja napięcia (+/- 1,5%)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czas pracy na zbiorniku (moc 75% - min. 10h)</w:t>
            </w:r>
          </w:p>
          <w:p w:rsidR="007474BF" w:rsidRPr="006F592A" w:rsidRDefault="007474BF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pakiet serwisowy (filtr powietrza, świeca zapłonowa, olej silnikowy)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Inne uwagi: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Zestaw transportowy dopasowany do agregatu (kółka, uchwyty)</w:t>
            </w:r>
          </w:p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Agregat z całym oprzyrządowaniem oraz wyposażeniem ma być zdolny do pracy w momencie dostawy.</w:t>
            </w:r>
          </w:p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  <w:highlight w:val="red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Pierwszy rozruch u Zamawiającego.</w:t>
            </w:r>
          </w:p>
        </w:tc>
      </w:tr>
      <w:tr w:rsidR="007474BF" w:rsidRPr="006F592A" w:rsidTr="00211150">
        <w:trPr>
          <w:trHeight w:val="285"/>
        </w:trPr>
        <w:tc>
          <w:tcPr>
            <w:tcW w:w="4704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Gwarancja:</w:t>
            </w:r>
          </w:p>
        </w:tc>
        <w:tc>
          <w:tcPr>
            <w:tcW w:w="5356" w:type="dxa"/>
          </w:tcPr>
          <w:p w:rsidR="007474BF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  <w:highlight w:val="red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24 - 48 miesiące od daty podpisania protokoły odbioru </w:t>
            </w:r>
            <w:r w:rsidR="00430BD4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końcowego </w:t>
            </w: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bez uwag (zgodnie  z treścią złożonej oferty oraz  wynikająca z dokumentów gwarancyjnych producenta czy dystrybutora)</w:t>
            </w:r>
          </w:p>
        </w:tc>
      </w:tr>
    </w:tbl>
    <w:p w:rsidR="00542B09" w:rsidRPr="006F592A" w:rsidRDefault="007474BF" w:rsidP="006F592A">
      <w:pPr>
        <w:spacing w:after="0" w:line="240" w:lineRule="auto"/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</w:pPr>
      <w:bookmarkStart w:id="0" w:name="_GoBack"/>
      <w:bookmarkEnd w:id="0"/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>CZĘŚĆ 3 ZAMÓWIENIA:</w:t>
      </w:r>
    </w:p>
    <w:p w:rsidR="00542B09" w:rsidRPr="006F592A" w:rsidRDefault="00542B09" w:rsidP="006F592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 xml:space="preserve"> Agregat prądotwórczy mobilny na przyczepce o mocy 100 – 120 kW </w:t>
      </w:r>
    </w:p>
    <w:p w:rsidR="00542B09" w:rsidRPr="006F592A" w:rsidRDefault="00542B09" w:rsidP="006F592A">
      <w:pPr>
        <w:spacing w:before="57" w:after="57"/>
        <w:rPr>
          <w:rFonts w:cstheme="minorHAnsi"/>
          <w:spacing w:val="30"/>
          <w:sz w:val="24"/>
          <w:szCs w:val="24"/>
        </w:rPr>
      </w:pPr>
      <w:r w:rsidRPr="006F592A">
        <w:rPr>
          <w:rFonts w:eastAsia="Calibri" w:cstheme="minorHAnsi"/>
          <w:b/>
          <w:bCs/>
          <w:spacing w:val="30"/>
          <w:kern w:val="2"/>
          <w:sz w:val="24"/>
          <w:szCs w:val="24"/>
          <w14:ligatures w14:val="standardContextual"/>
        </w:rPr>
        <w:t>ilość sztuk: 1</w:t>
      </w:r>
    </w:p>
    <w:tbl>
      <w:tblPr>
        <w:tblStyle w:val="Tabela-Siatka2"/>
        <w:tblW w:w="10060" w:type="dxa"/>
        <w:tblLayout w:type="fixed"/>
        <w:tblLook w:val="04A0" w:firstRow="1" w:lastRow="0" w:firstColumn="1" w:lastColumn="0" w:noHBand="0" w:noVBand="1"/>
      </w:tblPr>
      <w:tblGrid>
        <w:gridCol w:w="4704"/>
        <w:gridCol w:w="5356"/>
      </w:tblGrid>
      <w:tr w:rsidR="00542B09" w:rsidRPr="006F592A" w:rsidTr="00211150">
        <w:trPr>
          <w:trHeight w:val="73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Przeznaczenie</w:t>
            </w:r>
          </w:p>
        </w:tc>
        <w:tc>
          <w:tcPr>
            <w:tcW w:w="5356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Mobilny agregat prądotwórczy zabudowany na przyczepie</w:t>
            </w:r>
            <w:r w:rsidR="006B1072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 trójfazowy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Moc</w:t>
            </w:r>
          </w:p>
        </w:tc>
        <w:tc>
          <w:tcPr>
            <w:tcW w:w="5356" w:type="dxa"/>
          </w:tcPr>
          <w:p w:rsidR="00542B09" w:rsidRPr="006F592A" w:rsidRDefault="00542B09" w:rsidP="006F592A">
            <w:pPr>
              <w:widowControl w:val="0"/>
              <w:numPr>
                <w:ilvl w:val="0"/>
                <w:numId w:val="16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znamionowa 100 kW</w:t>
            </w:r>
            <w:r w:rsidR="006675AC" w:rsidRPr="006F592A">
              <w:rPr>
                <w:rFonts w:asciiTheme="minorHAnsi" w:hAnsiTheme="minorHAnsi" w:cstheme="minorHAnsi"/>
                <w:spacing w:val="30"/>
              </w:rPr>
              <w:t>-120kW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Napięcie wyjściowe</w:t>
            </w:r>
          </w:p>
        </w:tc>
        <w:tc>
          <w:tcPr>
            <w:tcW w:w="5356" w:type="dxa"/>
          </w:tcPr>
          <w:p w:rsidR="00542B09" w:rsidRPr="006F592A" w:rsidRDefault="00542B09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trójfazowe 400 V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Prądownica</w:t>
            </w:r>
          </w:p>
        </w:tc>
        <w:tc>
          <w:tcPr>
            <w:tcW w:w="5356" w:type="dxa"/>
            <w:tcBorders>
              <w:top w:val="nil"/>
            </w:tcBorders>
          </w:tcPr>
          <w:p w:rsidR="00542B09" w:rsidRPr="006F592A" w:rsidRDefault="00542B09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Synchroniczna</w:t>
            </w:r>
          </w:p>
          <w:p w:rsidR="00542B09" w:rsidRPr="006F592A" w:rsidRDefault="00EC0E3B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proofErr w:type="spellStart"/>
            <w:r w:rsidRPr="006F592A">
              <w:rPr>
                <w:rFonts w:asciiTheme="minorHAnsi" w:hAnsiTheme="minorHAnsi" w:cstheme="minorHAnsi"/>
                <w:spacing w:val="30"/>
              </w:rPr>
              <w:t>B</w:t>
            </w:r>
            <w:r w:rsidR="00542B09" w:rsidRPr="006F592A">
              <w:rPr>
                <w:rFonts w:asciiTheme="minorHAnsi" w:hAnsiTheme="minorHAnsi" w:cstheme="minorHAnsi"/>
                <w:spacing w:val="30"/>
              </w:rPr>
              <w:t>ezszczotkowa</w:t>
            </w:r>
            <w:proofErr w:type="spellEnd"/>
          </w:p>
          <w:p w:rsidR="00EC0E3B" w:rsidRPr="006F592A" w:rsidRDefault="007C14C4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Napięcie znamionowe 42</w:t>
            </w:r>
            <w:r w:rsidR="00EC0E3B" w:rsidRPr="006F592A">
              <w:rPr>
                <w:rFonts w:asciiTheme="minorHAnsi" w:hAnsiTheme="minorHAnsi" w:cstheme="minorHAnsi"/>
                <w:spacing w:val="30"/>
              </w:rPr>
              <w:t xml:space="preserve">0V </w:t>
            </w:r>
          </w:p>
          <w:p w:rsidR="00EC0E3B" w:rsidRPr="006F592A" w:rsidRDefault="00EC0E3B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 xml:space="preserve">Współczynnik mocy 0,8 </w:t>
            </w:r>
          </w:p>
          <w:p w:rsidR="003858AD" w:rsidRPr="006F592A" w:rsidRDefault="003858AD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Stopień ochrony: IP 23</w:t>
            </w:r>
          </w:p>
          <w:p w:rsidR="003858AD" w:rsidRPr="006F592A" w:rsidRDefault="003858AD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Klasa izolacji: H</w:t>
            </w:r>
          </w:p>
          <w:p w:rsidR="003858AD" w:rsidRPr="006F592A" w:rsidRDefault="003858AD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Wydajność: 93%</w:t>
            </w:r>
          </w:p>
          <w:p w:rsidR="003858AD" w:rsidRPr="006F592A" w:rsidRDefault="003858AD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 xml:space="preserve">Typ AVR: DVD, cyfrowy </w:t>
            </w:r>
          </w:p>
          <w:p w:rsidR="00B1155D" w:rsidRPr="006F592A" w:rsidRDefault="00B1155D" w:rsidP="006F592A">
            <w:pPr>
              <w:widowControl w:val="0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Stabilizacja napięcia (</w:t>
            </w:r>
            <w:r w:rsidR="009D3AE5" w:rsidRPr="006F592A">
              <w:rPr>
                <w:rFonts w:asciiTheme="minorHAnsi" w:hAnsiTheme="minorHAnsi" w:cstheme="minorHAnsi"/>
                <w:spacing w:val="30"/>
              </w:rPr>
              <w:t>+/- 1,5 %)</w:t>
            </w:r>
          </w:p>
          <w:p w:rsidR="00542B09" w:rsidRPr="006F592A" w:rsidRDefault="00542B09" w:rsidP="006F592A">
            <w:pPr>
              <w:widowControl w:val="0"/>
              <w:spacing w:line="240" w:lineRule="auto"/>
              <w:ind w:left="720"/>
              <w:rPr>
                <w:rFonts w:asciiTheme="minorHAnsi" w:hAnsiTheme="minorHAnsi" w:cstheme="minorHAnsi"/>
                <w:spacing w:val="30"/>
              </w:rPr>
            </w:pP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Silnik</w:t>
            </w:r>
          </w:p>
        </w:tc>
        <w:tc>
          <w:tcPr>
            <w:tcW w:w="5356" w:type="dxa"/>
          </w:tcPr>
          <w:p w:rsidR="00542B09" w:rsidRPr="006F592A" w:rsidRDefault="00542B09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Wysokoprężny diesel</w:t>
            </w:r>
            <w:r w:rsidR="00B1155D"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, z normą emisji spalin STAGE V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chłodzony cieczą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przystosowany do pracy ciągłej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mechaniczna regulacja obrotów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poziom spalania przy 100% obciążenia</w:t>
            </w:r>
            <w:r w:rsidR="006C72B6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 maks. 30l/h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color w:val="000000"/>
                <w:spacing w:val="30"/>
                <w:kern w:val="2"/>
              </w:rPr>
              <w:t>zabezpieczenia przeciwzwarciowe i przeciążeniowe.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Rozruch</w:t>
            </w:r>
          </w:p>
        </w:tc>
        <w:tc>
          <w:tcPr>
            <w:tcW w:w="5356" w:type="dxa"/>
          </w:tcPr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akumulatorowy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Zbiornik paliwa</w:t>
            </w:r>
          </w:p>
        </w:tc>
        <w:tc>
          <w:tcPr>
            <w:tcW w:w="5356" w:type="dxa"/>
            <w:tcBorders>
              <w:top w:val="nil"/>
            </w:tcBorders>
          </w:tcPr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pozwalający na </w:t>
            </w:r>
            <w:r w:rsidR="007C14C4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min. </w:t>
            </w: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10 h pracy przy maksymalnym obciążeniu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wlew paliwa zabezpieczony na kluczyk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hAnsiTheme="minorHAnsi" w:cstheme="minorHAnsi"/>
                <w:spacing w:val="30"/>
              </w:rPr>
              <w:t>Panel sterowania</w:t>
            </w:r>
          </w:p>
        </w:tc>
        <w:tc>
          <w:tcPr>
            <w:tcW w:w="5356" w:type="dxa"/>
            <w:tcBorders>
              <w:top w:val="nil"/>
            </w:tcBorders>
          </w:tcPr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w języku polskim, umożliwiający odczyt i kontrolę parametrów pracy (m.in. napięcie, prąd, częstotliwość, licznik motogodzin, poziom paliwa, komunikaty serwisowe).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  <w:tcBorders>
              <w:top w:val="nil"/>
            </w:tcBorders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Obudowa</w:t>
            </w:r>
          </w:p>
        </w:tc>
        <w:tc>
          <w:tcPr>
            <w:tcW w:w="5356" w:type="dxa"/>
            <w:tcBorders>
              <w:top w:val="nil"/>
            </w:tcBorders>
          </w:tcPr>
          <w:p w:rsidR="00B1155D" w:rsidRPr="006F592A" w:rsidRDefault="00B1155D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obudowa wyciszająca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pełna izolacja przed opadami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wszystkie drzwi zabezpieczone zamkiem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wszystkie oznaczenia ostrzegawcze w języku polskim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zabezpieczona antykorozyjnie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haki montażowe do HDS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płyta antywibracyjna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podwozie/przyczepka</w:t>
            </w:r>
            <w:r w:rsidR="006B1072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 dwuosiowa </w:t>
            </w:r>
          </w:p>
        </w:tc>
        <w:tc>
          <w:tcPr>
            <w:tcW w:w="5356" w:type="dxa"/>
          </w:tcPr>
          <w:p w:rsidR="00542B09" w:rsidRPr="006F592A" w:rsidRDefault="00542B09" w:rsidP="006F592A">
            <w:pPr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rama spawana wykonane z blachy stalowej, gięte, cynkowane ogniowa</w:t>
            </w:r>
            <w:r w:rsidR="00B1155D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, </w:t>
            </w: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zaczep kulowy kompletny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urządzenie najazdowe ze sterownikiem hamulca jezdnego oraz najazdowego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przyczepka przystosowana tylko do transportu agregatu (bez burt)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długość i szerokość dopasowana do agregatu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DMS dopasowana do przeznaczenia</w:t>
            </w:r>
          </w:p>
          <w:p w:rsidR="00542B09" w:rsidRPr="006F592A" w:rsidRDefault="00542B09" w:rsidP="006F592A">
            <w:pPr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dopuszczona do ruchu po drogach publicznych z homologacją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lastRenderedPageBreak/>
              <w:t>Inne uwagi:</w:t>
            </w:r>
          </w:p>
        </w:tc>
        <w:tc>
          <w:tcPr>
            <w:tcW w:w="5356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Agregat z całym oprzyrządowaniem oraz wyposażeniem ma być zdolny do pracy w momencie dostawy.</w:t>
            </w:r>
          </w:p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Pierwszy rozruch u Zamawiającego.</w:t>
            </w:r>
          </w:p>
        </w:tc>
      </w:tr>
      <w:tr w:rsidR="00542B09" w:rsidRPr="006F592A" w:rsidTr="00211150">
        <w:trPr>
          <w:trHeight w:val="285"/>
        </w:trPr>
        <w:tc>
          <w:tcPr>
            <w:tcW w:w="4704" w:type="dxa"/>
          </w:tcPr>
          <w:p w:rsidR="00542B09" w:rsidRPr="006F592A" w:rsidRDefault="00542B09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Gwarancja:</w:t>
            </w:r>
          </w:p>
        </w:tc>
        <w:tc>
          <w:tcPr>
            <w:tcW w:w="5356" w:type="dxa"/>
          </w:tcPr>
          <w:p w:rsidR="00542B09" w:rsidRPr="006F592A" w:rsidRDefault="007474BF" w:rsidP="006F592A">
            <w:pPr>
              <w:widowControl w:val="0"/>
              <w:spacing w:line="240" w:lineRule="auto"/>
              <w:rPr>
                <w:rFonts w:asciiTheme="minorHAnsi" w:hAnsiTheme="minorHAnsi" w:cstheme="minorHAnsi"/>
                <w:spacing w:val="30"/>
              </w:rPr>
            </w:pP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36- 60 miesi</w:t>
            </w:r>
            <w:r w:rsidR="00430BD4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ęcy </w:t>
            </w: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>od daty podpisania protokoły odbioru</w:t>
            </w:r>
            <w:r w:rsidR="00430BD4"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 końcowego</w:t>
            </w:r>
            <w:r w:rsidRPr="006F592A">
              <w:rPr>
                <w:rFonts w:asciiTheme="minorHAnsi" w:eastAsia="NSimSun" w:hAnsiTheme="minorHAnsi" w:cstheme="minorHAnsi"/>
                <w:spacing w:val="30"/>
                <w:kern w:val="2"/>
              </w:rPr>
              <w:t xml:space="preserve"> bez uwag (zgodnie  z treścią złożonej oferty oraz  wynikająca z dokumentów gwarancyjnych producenta czy dystrybutora)</w:t>
            </w:r>
          </w:p>
        </w:tc>
      </w:tr>
    </w:tbl>
    <w:p w:rsidR="00542B09" w:rsidRPr="006F592A" w:rsidRDefault="00542B09" w:rsidP="006F592A">
      <w:pPr>
        <w:spacing w:line="276" w:lineRule="auto"/>
        <w:rPr>
          <w:rFonts w:eastAsia="Calibri" w:cstheme="minorHAnsi"/>
          <w:spacing w:val="30"/>
          <w:kern w:val="2"/>
          <w:sz w:val="24"/>
          <w:szCs w:val="24"/>
          <w14:ligatures w14:val="standardContextual"/>
        </w:rPr>
      </w:pPr>
    </w:p>
    <w:p w:rsidR="00542B09" w:rsidRPr="006F592A" w:rsidRDefault="00542B09" w:rsidP="006F592A">
      <w:pPr>
        <w:spacing w:line="276" w:lineRule="auto"/>
        <w:rPr>
          <w:rFonts w:eastAsia="Calibri" w:cstheme="minorHAnsi"/>
          <w:spacing w:val="30"/>
          <w:kern w:val="2"/>
          <w:sz w:val="24"/>
          <w:szCs w:val="24"/>
          <w14:ligatures w14:val="standardContextual"/>
        </w:rPr>
      </w:pPr>
    </w:p>
    <w:sectPr w:rsidR="00542B09" w:rsidRPr="006F592A" w:rsidSect="006F5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4" w:bottom="1446" w:left="1134" w:header="283" w:footer="1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EA" w:rsidRDefault="005727EA">
      <w:pPr>
        <w:spacing w:after="0" w:line="240" w:lineRule="auto"/>
      </w:pPr>
      <w:r>
        <w:separator/>
      </w:r>
    </w:p>
  </w:endnote>
  <w:endnote w:type="continuationSeparator" w:id="0">
    <w:p w:rsidR="005727EA" w:rsidRDefault="00572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CF" w:rsidRDefault="00C7575E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5654AE47" wp14:editId="09AEC0D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801CF" w:rsidRDefault="00C7575E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40908FDD" id="Ramka1" o:spid="_x0000_s1026" style="position:absolute;margin-left:0;margin-top:.05pt;width:1.15pt;height:1.15pt;z-index:-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:rsidR="004801CF" w:rsidRDefault="00C7575E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  <w:p w:rsidR="004801CF" w:rsidRDefault="006F59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CF" w:rsidRDefault="006F592A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CF" w:rsidRDefault="006F592A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EA" w:rsidRDefault="005727EA">
      <w:pPr>
        <w:spacing w:after="0" w:line="240" w:lineRule="auto"/>
      </w:pPr>
      <w:r>
        <w:separator/>
      </w:r>
    </w:p>
  </w:footnote>
  <w:footnote w:type="continuationSeparator" w:id="0">
    <w:p w:rsidR="005727EA" w:rsidRDefault="00572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CF" w:rsidRDefault="006F592A">
    <w:pPr>
      <w:pStyle w:val="Nagwek"/>
    </w:pPr>
  </w:p>
  <w:p w:rsidR="004801CF" w:rsidRDefault="006F59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797209"/>
      <w:docPartObj>
        <w:docPartGallery w:val="Page Numbers (Top of Page)"/>
        <w:docPartUnique/>
      </w:docPartObj>
    </w:sdtPr>
    <w:sdtEndPr/>
    <w:sdtContent>
      <w:p w:rsidR="004801CF" w:rsidRDefault="006F592A">
        <w:pPr>
          <w:pStyle w:val="Nagwek"/>
          <w:jc w:val="right"/>
          <w:rPr>
            <w:rFonts w:cstheme="minorHAnsi"/>
            <w:b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775596"/>
      <w:docPartObj>
        <w:docPartGallery w:val="Page Numbers (Top of Page)"/>
        <w:docPartUnique/>
      </w:docPartObj>
    </w:sdtPr>
    <w:sdtEndPr/>
    <w:sdtContent>
      <w:p w:rsidR="004801CF" w:rsidRDefault="006F592A">
        <w:pPr>
          <w:pStyle w:val="Nagwek"/>
          <w:jc w:val="right"/>
          <w:rPr>
            <w:rFonts w:cstheme="minorHAnsi"/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2B3"/>
    <w:multiLevelType w:val="hybridMultilevel"/>
    <w:tmpl w:val="672A0DC0"/>
    <w:lvl w:ilvl="0" w:tplc="547A2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440F96"/>
    <w:multiLevelType w:val="multilevel"/>
    <w:tmpl w:val="5FD2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A9E6656"/>
    <w:multiLevelType w:val="hybridMultilevel"/>
    <w:tmpl w:val="7578E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A76"/>
    <w:multiLevelType w:val="multilevel"/>
    <w:tmpl w:val="5C627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2A0C4EBD"/>
    <w:multiLevelType w:val="hybridMultilevel"/>
    <w:tmpl w:val="337ED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90DCB"/>
    <w:multiLevelType w:val="hybridMultilevel"/>
    <w:tmpl w:val="1556F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E244F"/>
    <w:multiLevelType w:val="multilevel"/>
    <w:tmpl w:val="6C64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36C26BE7"/>
    <w:multiLevelType w:val="hybridMultilevel"/>
    <w:tmpl w:val="D4320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9197D"/>
    <w:multiLevelType w:val="hybridMultilevel"/>
    <w:tmpl w:val="2FE03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12074"/>
    <w:multiLevelType w:val="multilevel"/>
    <w:tmpl w:val="7DCA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42C077CA"/>
    <w:multiLevelType w:val="hybridMultilevel"/>
    <w:tmpl w:val="6098FAA8"/>
    <w:lvl w:ilvl="0" w:tplc="DB0CEC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A7B07AE"/>
    <w:multiLevelType w:val="hybridMultilevel"/>
    <w:tmpl w:val="3056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70BB8"/>
    <w:multiLevelType w:val="hybridMultilevel"/>
    <w:tmpl w:val="F5429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E7CE5"/>
    <w:multiLevelType w:val="multilevel"/>
    <w:tmpl w:val="826E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64C779C3"/>
    <w:multiLevelType w:val="hybridMultilevel"/>
    <w:tmpl w:val="2E303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482016"/>
    <w:multiLevelType w:val="multilevel"/>
    <w:tmpl w:val="42762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12"/>
  </w:num>
  <w:num w:numId="9">
    <w:abstractNumId w:val="14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6"/>
  </w:num>
  <w:num w:numId="15">
    <w:abstractNumId w:val="13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DDE"/>
    <w:rsid w:val="00023963"/>
    <w:rsid w:val="000349B4"/>
    <w:rsid w:val="0006575E"/>
    <w:rsid w:val="000707ED"/>
    <w:rsid w:val="000726C0"/>
    <w:rsid w:val="000F6B42"/>
    <w:rsid w:val="001135B1"/>
    <w:rsid w:val="00126B5B"/>
    <w:rsid w:val="001473A0"/>
    <w:rsid w:val="00167326"/>
    <w:rsid w:val="00211150"/>
    <w:rsid w:val="00232F60"/>
    <w:rsid w:val="002446BC"/>
    <w:rsid w:val="0027558B"/>
    <w:rsid w:val="002808FC"/>
    <w:rsid w:val="002A7C8C"/>
    <w:rsid w:val="002C3782"/>
    <w:rsid w:val="002F3800"/>
    <w:rsid w:val="0030440A"/>
    <w:rsid w:val="003858AD"/>
    <w:rsid w:val="003C687D"/>
    <w:rsid w:val="00430BD4"/>
    <w:rsid w:val="004B56FF"/>
    <w:rsid w:val="0051297A"/>
    <w:rsid w:val="00542B09"/>
    <w:rsid w:val="005727EA"/>
    <w:rsid w:val="00580689"/>
    <w:rsid w:val="005E203D"/>
    <w:rsid w:val="005E4EA9"/>
    <w:rsid w:val="0060153E"/>
    <w:rsid w:val="006675AC"/>
    <w:rsid w:val="006B1072"/>
    <w:rsid w:val="006B4A15"/>
    <w:rsid w:val="006B5B30"/>
    <w:rsid w:val="006C72B6"/>
    <w:rsid w:val="006D15D9"/>
    <w:rsid w:val="006D72E8"/>
    <w:rsid w:val="006F3DB9"/>
    <w:rsid w:val="006F592A"/>
    <w:rsid w:val="00710614"/>
    <w:rsid w:val="007278F2"/>
    <w:rsid w:val="007474BF"/>
    <w:rsid w:val="00792031"/>
    <w:rsid w:val="007A00A6"/>
    <w:rsid w:val="007A748D"/>
    <w:rsid w:val="007B52A3"/>
    <w:rsid w:val="007C14C4"/>
    <w:rsid w:val="008244F6"/>
    <w:rsid w:val="00826EF2"/>
    <w:rsid w:val="00835E74"/>
    <w:rsid w:val="0085126C"/>
    <w:rsid w:val="00860B3A"/>
    <w:rsid w:val="0086731D"/>
    <w:rsid w:val="008C28F5"/>
    <w:rsid w:val="009132C2"/>
    <w:rsid w:val="0097702B"/>
    <w:rsid w:val="009D2E09"/>
    <w:rsid w:val="009D3AE5"/>
    <w:rsid w:val="00A813EB"/>
    <w:rsid w:val="00AB49BA"/>
    <w:rsid w:val="00B1155D"/>
    <w:rsid w:val="00B44DD8"/>
    <w:rsid w:val="00B566F2"/>
    <w:rsid w:val="00B8425D"/>
    <w:rsid w:val="00BD6F48"/>
    <w:rsid w:val="00C35078"/>
    <w:rsid w:val="00C50171"/>
    <w:rsid w:val="00C615AA"/>
    <w:rsid w:val="00C7575E"/>
    <w:rsid w:val="00C86DDE"/>
    <w:rsid w:val="00CA4FC8"/>
    <w:rsid w:val="00CE5BD2"/>
    <w:rsid w:val="00CF5B78"/>
    <w:rsid w:val="00D51DAB"/>
    <w:rsid w:val="00DC4066"/>
    <w:rsid w:val="00DC672B"/>
    <w:rsid w:val="00DC7C57"/>
    <w:rsid w:val="00E51667"/>
    <w:rsid w:val="00E83539"/>
    <w:rsid w:val="00EC0E3B"/>
    <w:rsid w:val="00ED3971"/>
    <w:rsid w:val="00F1409F"/>
    <w:rsid w:val="00F33020"/>
    <w:rsid w:val="00FB498C"/>
    <w:rsid w:val="00FC6CB6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8F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806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80689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6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">
    <w:name w:val="pre"/>
    <w:basedOn w:val="Domylnaczcionkaakapitu"/>
    <w:rsid w:val="00580689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806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80689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68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B5B30"/>
    <w:pPr>
      <w:spacing w:line="259" w:lineRule="auto"/>
      <w:ind w:left="720"/>
      <w:contextualSpacing/>
    </w:pPr>
  </w:style>
  <w:style w:type="character" w:customStyle="1" w:styleId="ng-binding">
    <w:name w:val="ng-binding"/>
    <w:basedOn w:val="Domylnaczcionkaakapitu"/>
    <w:rsid w:val="000707ED"/>
  </w:style>
  <w:style w:type="character" w:customStyle="1" w:styleId="ng-scope">
    <w:name w:val="ng-scope"/>
    <w:basedOn w:val="Domylnaczcionkaakapitu"/>
    <w:rsid w:val="000707ED"/>
  </w:style>
  <w:style w:type="character" w:styleId="Uwydatnienie">
    <w:name w:val="Emphasis"/>
    <w:basedOn w:val="Domylnaczcionkaakapitu"/>
    <w:uiPriority w:val="20"/>
    <w:qFormat/>
    <w:rsid w:val="000707E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44DD8"/>
    <w:rPr>
      <w:color w:val="0000FF"/>
      <w:u w:val="single"/>
    </w:rPr>
  </w:style>
  <w:style w:type="paragraph" w:customStyle="1" w:styleId="Bezodstpw1">
    <w:name w:val="Bez odstępów1"/>
    <w:uiPriority w:val="99"/>
    <w:rsid w:val="003C687D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3C68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542B09"/>
  </w:style>
  <w:style w:type="character" w:customStyle="1" w:styleId="StopkaZnak">
    <w:name w:val="Stopka Znak"/>
    <w:basedOn w:val="Domylnaczcionkaakapitu"/>
    <w:link w:val="Stopka"/>
    <w:uiPriority w:val="99"/>
    <w:qFormat/>
    <w:rsid w:val="00542B09"/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42B09"/>
  </w:style>
  <w:style w:type="paragraph" w:styleId="Nagwek">
    <w:name w:val="header"/>
    <w:basedOn w:val="Normalny"/>
    <w:next w:val="Tekstpodstawowy"/>
    <w:link w:val="NagwekZnak"/>
    <w:uiPriority w:val="99"/>
    <w:rsid w:val="00542B09"/>
    <w:pPr>
      <w:tabs>
        <w:tab w:val="center" w:pos="4536"/>
        <w:tab w:val="right" w:pos="9072"/>
      </w:tabs>
      <w:suppressAutoHyphens/>
      <w:spacing w:before="360" w:after="360" w:line="36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542B09"/>
  </w:style>
  <w:style w:type="paragraph" w:styleId="Stopka">
    <w:name w:val="footer"/>
    <w:basedOn w:val="Normalny"/>
    <w:link w:val="StopkaZnak"/>
    <w:uiPriority w:val="99"/>
    <w:rsid w:val="00542B09"/>
    <w:pPr>
      <w:tabs>
        <w:tab w:val="center" w:pos="4536"/>
        <w:tab w:val="right" w:pos="9072"/>
      </w:tabs>
      <w:suppressAutoHyphens/>
      <w:spacing w:before="360" w:after="360" w:line="360" w:lineRule="auto"/>
    </w:pPr>
    <w:rPr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542B09"/>
  </w:style>
  <w:style w:type="table" w:customStyle="1" w:styleId="Tabela-Siatka2">
    <w:name w:val="Tabela - Siatka2"/>
    <w:basedOn w:val="Standardowy"/>
    <w:uiPriority w:val="39"/>
    <w:rsid w:val="00542B09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2B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2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8F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806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80689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6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">
    <w:name w:val="pre"/>
    <w:basedOn w:val="Domylnaczcionkaakapitu"/>
    <w:rsid w:val="00580689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806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80689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68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B5B30"/>
    <w:pPr>
      <w:spacing w:line="259" w:lineRule="auto"/>
      <w:ind w:left="720"/>
      <w:contextualSpacing/>
    </w:pPr>
  </w:style>
  <w:style w:type="character" w:customStyle="1" w:styleId="ng-binding">
    <w:name w:val="ng-binding"/>
    <w:basedOn w:val="Domylnaczcionkaakapitu"/>
    <w:rsid w:val="000707ED"/>
  </w:style>
  <w:style w:type="character" w:customStyle="1" w:styleId="ng-scope">
    <w:name w:val="ng-scope"/>
    <w:basedOn w:val="Domylnaczcionkaakapitu"/>
    <w:rsid w:val="000707ED"/>
  </w:style>
  <w:style w:type="character" w:styleId="Uwydatnienie">
    <w:name w:val="Emphasis"/>
    <w:basedOn w:val="Domylnaczcionkaakapitu"/>
    <w:uiPriority w:val="20"/>
    <w:qFormat/>
    <w:rsid w:val="000707E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44DD8"/>
    <w:rPr>
      <w:color w:val="0000FF"/>
      <w:u w:val="single"/>
    </w:rPr>
  </w:style>
  <w:style w:type="paragraph" w:customStyle="1" w:styleId="Bezodstpw1">
    <w:name w:val="Bez odstępów1"/>
    <w:uiPriority w:val="99"/>
    <w:rsid w:val="003C687D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3C68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542B09"/>
  </w:style>
  <w:style w:type="character" w:customStyle="1" w:styleId="StopkaZnak">
    <w:name w:val="Stopka Znak"/>
    <w:basedOn w:val="Domylnaczcionkaakapitu"/>
    <w:link w:val="Stopka"/>
    <w:uiPriority w:val="99"/>
    <w:qFormat/>
    <w:rsid w:val="00542B09"/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42B09"/>
  </w:style>
  <w:style w:type="paragraph" w:styleId="Nagwek">
    <w:name w:val="header"/>
    <w:basedOn w:val="Normalny"/>
    <w:next w:val="Tekstpodstawowy"/>
    <w:link w:val="NagwekZnak"/>
    <w:uiPriority w:val="99"/>
    <w:rsid w:val="00542B09"/>
    <w:pPr>
      <w:tabs>
        <w:tab w:val="center" w:pos="4536"/>
        <w:tab w:val="right" w:pos="9072"/>
      </w:tabs>
      <w:suppressAutoHyphens/>
      <w:spacing w:before="360" w:after="360" w:line="36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542B09"/>
  </w:style>
  <w:style w:type="paragraph" w:styleId="Stopka">
    <w:name w:val="footer"/>
    <w:basedOn w:val="Normalny"/>
    <w:link w:val="StopkaZnak"/>
    <w:uiPriority w:val="99"/>
    <w:rsid w:val="00542B09"/>
    <w:pPr>
      <w:tabs>
        <w:tab w:val="center" w:pos="4536"/>
        <w:tab w:val="right" w:pos="9072"/>
      </w:tabs>
      <w:suppressAutoHyphens/>
      <w:spacing w:before="360" w:after="360" w:line="360" w:lineRule="auto"/>
    </w:pPr>
    <w:rPr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542B09"/>
  </w:style>
  <w:style w:type="table" w:customStyle="1" w:styleId="Tabela-Siatka2">
    <w:name w:val="Tabela - Siatka2"/>
    <w:basedOn w:val="Standardowy"/>
    <w:uiPriority w:val="39"/>
    <w:rsid w:val="00542B09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2B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2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127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8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2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5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7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3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6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49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5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32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24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597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87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9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2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7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7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01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50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41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27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31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35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24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25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63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07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15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14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9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Grzesik</dc:creator>
  <cp:keywords/>
  <dc:description/>
  <cp:lastModifiedBy>Magdalena Zioło</cp:lastModifiedBy>
  <cp:revision>5</cp:revision>
  <cp:lastPrinted>2025-09-25T07:55:00Z</cp:lastPrinted>
  <dcterms:created xsi:type="dcterms:W3CDTF">2025-09-18T08:58:00Z</dcterms:created>
  <dcterms:modified xsi:type="dcterms:W3CDTF">2025-10-02T08:09:00Z</dcterms:modified>
</cp:coreProperties>
</file>